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097"/>
        <w:tblW w:w="9445" w:type="dxa"/>
        <w:tblLook w:val="04A0" w:firstRow="1" w:lastRow="0" w:firstColumn="1" w:lastColumn="0" w:noHBand="0" w:noVBand="1"/>
      </w:tblPr>
      <w:tblGrid>
        <w:gridCol w:w="328"/>
        <w:gridCol w:w="9117"/>
      </w:tblGrid>
      <w:tr w:rsidR="00F61811" w:rsidRPr="00C75725" w14:paraId="3840E7E2" w14:textId="77777777" w:rsidTr="00F61811">
        <w:trPr>
          <w:trHeight w:val="288"/>
        </w:trPr>
        <w:tc>
          <w:tcPr>
            <w:tcW w:w="328" w:type="dxa"/>
            <w:tcBorders>
              <w:top w:val="single" w:sz="4" w:space="0" w:color="000000"/>
              <w:left w:val="single" w:sz="4" w:space="0" w:color="000000"/>
              <w:bottom w:val="single" w:sz="4" w:space="0" w:color="000000"/>
              <w:right w:val="single" w:sz="4" w:space="0" w:color="000000"/>
            </w:tcBorders>
            <w:vAlign w:val="center"/>
            <w:hideMark/>
          </w:tcPr>
          <w:p w14:paraId="30C20F8C" w14:textId="77777777" w:rsidR="00F61811" w:rsidRPr="00C75725" w:rsidRDefault="00F61811" w:rsidP="00F61811">
            <w:pPr>
              <w:spacing w:after="0" w:line="240" w:lineRule="auto"/>
              <w:jc w:val="right"/>
              <w:rPr>
                <w:rFonts w:cs="Calibri"/>
                <w:color w:val="000000"/>
              </w:rPr>
            </w:pPr>
            <w:r w:rsidRPr="00C75725">
              <w:rPr>
                <w:rFonts w:cs="Calibri"/>
                <w:color w:val="000000"/>
              </w:rPr>
              <w:t>1</w:t>
            </w:r>
          </w:p>
        </w:tc>
        <w:tc>
          <w:tcPr>
            <w:tcW w:w="9117" w:type="dxa"/>
            <w:tcBorders>
              <w:top w:val="single" w:sz="4" w:space="0" w:color="000000"/>
              <w:left w:val="nil"/>
              <w:bottom w:val="single" w:sz="4" w:space="0" w:color="000000"/>
              <w:right w:val="single" w:sz="4" w:space="0" w:color="000000"/>
            </w:tcBorders>
            <w:vAlign w:val="center"/>
            <w:hideMark/>
          </w:tcPr>
          <w:p w14:paraId="1FDB39B0" w14:textId="77777777" w:rsidR="00F61811" w:rsidRPr="00C75725" w:rsidRDefault="00F61811" w:rsidP="00F61811">
            <w:pPr>
              <w:spacing w:after="0" w:line="240" w:lineRule="auto"/>
              <w:rPr>
                <w:rFonts w:cs="Calibri"/>
                <w:color w:val="000000"/>
              </w:rPr>
            </w:pPr>
            <w:r w:rsidRPr="00C75725">
              <w:rPr>
                <w:rFonts w:cs="Calibri"/>
                <w:color w:val="000000"/>
              </w:rPr>
              <w:t>Упознавање са различитим типовима система аутоматизације у индустрији. Управљање системом аутоматског пуњења флаша. Уочавање у реалном систему свих компоненте са блок дијаграма САУ .</w:t>
            </w:r>
          </w:p>
        </w:tc>
      </w:tr>
      <w:tr w:rsidR="00F61811" w:rsidRPr="00C75725" w14:paraId="1C958AD6" w14:textId="77777777" w:rsidTr="00F61811">
        <w:trPr>
          <w:trHeight w:val="288"/>
        </w:trPr>
        <w:tc>
          <w:tcPr>
            <w:tcW w:w="328" w:type="dxa"/>
            <w:tcBorders>
              <w:top w:val="nil"/>
              <w:left w:val="single" w:sz="4" w:space="0" w:color="000000"/>
              <w:bottom w:val="single" w:sz="4" w:space="0" w:color="000000"/>
              <w:right w:val="single" w:sz="4" w:space="0" w:color="000000"/>
            </w:tcBorders>
            <w:vAlign w:val="center"/>
          </w:tcPr>
          <w:p w14:paraId="2D0CA5DD" w14:textId="77777777" w:rsidR="00F61811" w:rsidRPr="00C75725" w:rsidRDefault="00BA7F6D" w:rsidP="00F61811">
            <w:pPr>
              <w:spacing w:after="0" w:line="240" w:lineRule="auto"/>
              <w:jc w:val="right"/>
              <w:rPr>
                <w:rFonts w:cs="Calibri"/>
                <w:color w:val="000000"/>
              </w:rPr>
            </w:pPr>
            <w:r w:rsidRPr="00C75725">
              <w:rPr>
                <w:rFonts w:cs="Calibri"/>
                <w:color w:val="000000"/>
              </w:rPr>
              <w:t>2</w:t>
            </w:r>
          </w:p>
        </w:tc>
        <w:tc>
          <w:tcPr>
            <w:tcW w:w="9117" w:type="dxa"/>
            <w:tcBorders>
              <w:top w:val="nil"/>
              <w:left w:val="nil"/>
              <w:bottom w:val="single" w:sz="4" w:space="0" w:color="000000"/>
              <w:right w:val="single" w:sz="4" w:space="0" w:color="000000"/>
            </w:tcBorders>
            <w:vAlign w:val="center"/>
          </w:tcPr>
          <w:p w14:paraId="5943E42D" w14:textId="77777777" w:rsidR="00F61811" w:rsidRPr="00C75725" w:rsidRDefault="00E03914" w:rsidP="00E03914">
            <w:pPr>
              <w:rPr>
                <w:rFonts w:cs="Calibri"/>
                <w:color w:val="000000"/>
              </w:rPr>
            </w:pPr>
            <w:r w:rsidRPr="00C75725">
              <w:rPr>
                <w:rFonts w:cs="Calibri"/>
                <w:color w:val="000000"/>
              </w:rPr>
              <w:t>Анализа линеарних САУ. Представљање реалних елементе САУ из погонских условима њиховим преносним функцијама. Моделирање система аутоматског управљања применом МАТЛАБ-а. Одзив система другог реда на степ побуду.</w:t>
            </w:r>
          </w:p>
        </w:tc>
      </w:tr>
      <w:tr w:rsidR="00F61811" w:rsidRPr="00C75725" w14:paraId="5219FB78" w14:textId="77777777" w:rsidTr="00F61811">
        <w:trPr>
          <w:trHeight w:val="288"/>
        </w:trPr>
        <w:tc>
          <w:tcPr>
            <w:tcW w:w="328" w:type="dxa"/>
            <w:tcBorders>
              <w:top w:val="nil"/>
              <w:left w:val="single" w:sz="4" w:space="0" w:color="000000"/>
              <w:bottom w:val="single" w:sz="4" w:space="0" w:color="000000"/>
              <w:right w:val="single" w:sz="4" w:space="0" w:color="000000"/>
            </w:tcBorders>
            <w:vAlign w:val="center"/>
            <w:hideMark/>
          </w:tcPr>
          <w:p w14:paraId="2FFBEA37" w14:textId="77777777" w:rsidR="00F61811" w:rsidRPr="00C75725" w:rsidRDefault="00F61811" w:rsidP="00F61811">
            <w:pPr>
              <w:spacing w:after="0" w:line="240" w:lineRule="auto"/>
              <w:jc w:val="right"/>
              <w:rPr>
                <w:rFonts w:cs="Calibri"/>
                <w:color w:val="000000"/>
              </w:rPr>
            </w:pPr>
            <w:r w:rsidRPr="00C75725">
              <w:rPr>
                <w:rFonts w:cs="Calibri"/>
                <w:color w:val="000000"/>
              </w:rPr>
              <w:t>3</w:t>
            </w:r>
          </w:p>
        </w:tc>
        <w:tc>
          <w:tcPr>
            <w:tcW w:w="9117" w:type="dxa"/>
            <w:tcBorders>
              <w:top w:val="nil"/>
              <w:left w:val="nil"/>
              <w:bottom w:val="single" w:sz="4" w:space="0" w:color="000000"/>
              <w:right w:val="single" w:sz="4" w:space="0" w:color="000000"/>
            </w:tcBorders>
            <w:vAlign w:val="center"/>
          </w:tcPr>
          <w:p w14:paraId="6E551BD7" w14:textId="77777777" w:rsidR="00F61811" w:rsidRPr="00C75725" w:rsidRDefault="00E03914" w:rsidP="00F010E4">
            <w:pPr>
              <w:rPr>
                <w:rFonts w:cs="Calibri"/>
                <w:color w:val="000000"/>
              </w:rPr>
            </w:pPr>
            <w:r w:rsidRPr="00C75725">
              <w:rPr>
                <w:rFonts w:cs="Calibri"/>
                <w:color w:val="000000"/>
              </w:rPr>
              <w:t>Приказ аутоматизованих производних процеса преко математичких упрошћавања којима се долази до једноставнијих преносних функција. Ученици уочили како се систем са више регулационих кругова може представити преносном функцијом која је разумљивија. Рад са реалним системом који је поједностављен на систем са јединичном повратном спрегом.</w:t>
            </w:r>
          </w:p>
        </w:tc>
      </w:tr>
      <w:tr w:rsidR="00F61811" w:rsidRPr="00C75725" w14:paraId="65AF01FF" w14:textId="77777777" w:rsidTr="00F61811">
        <w:trPr>
          <w:trHeight w:val="288"/>
        </w:trPr>
        <w:tc>
          <w:tcPr>
            <w:tcW w:w="328" w:type="dxa"/>
            <w:tcBorders>
              <w:top w:val="nil"/>
              <w:left w:val="single" w:sz="4" w:space="0" w:color="000000"/>
              <w:bottom w:val="single" w:sz="4" w:space="0" w:color="000000"/>
              <w:right w:val="single" w:sz="4" w:space="0" w:color="000000"/>
            </w:tcBorders>
            <w:vAlign w:val="center"/>
            <w:hideMark/>
          </w:tcPr>
          <w:p w14:paraId="49D107E1" w14:textId="77777777" w:rsidR="00F61811" w:rsidRPr="00C75725" w:rsidRDefault="00F61811" w:rsidP="00F61811">
            <w:pPr>
              <w:spacing w:after="0" w:line="240" w:lineRule="auto"/>
              <w:jc w:val="right"/>
              <w:rPr>
                <w:rFonts w:cs="Calibri"/>
                <w:color w:val="000000"/>
              </w:rPr>
            </w:pPr>
            <w:r w:rsidRPr="00C75725">
              <w:rPr>
                <w:rFonts w:cs="Calibri"/>
                <w:color w:val="000000"/>
              </w:rPr>
              <w:t>4</w:t>
            </w:r>
          </w:p>
        </w:tc>
        <w:tc>
          <w:tcPr>
            <w:tcW w:w="9117" w:type="dxa"/>
            <w:tcBorders>
              <w:top w:val="nil"/>
              <w:left w:val="nil"/>
              <w:bottom w:val="single" w:sz="4" w:space="0" w:color="000000"/>
              <w:right w:val="single" w:sz="4" w:space="0" w:color="000000"/>
            </w:tcBorders>
            <w:vAlign w:val="center"/>
          </w:tcPr>
          <w:p w14:paraId="7328220B" w14:textId="77777777" w:rsidR="00F61811" w:rsidRPr="00C75725" w:rsidRDefault="00E03914" w:rsidP="00E03914">
            <w:pPr>
              <w:rPr>
                <w:rFonts w:cs="Calibri"/>
                <w:color w:val="000000"/>
              </w:rPr>
            </w:pPr>
            <w:r w:rsidRPr="00C75725">
              <w:rPr>
                <w:rFonts w:cs="Calibri"/>
                <w:color w:val="000000"/>
              </w:rPr>
              <w:t>Проучавање стабилности система. Упознавање са врстама поремећаја који се јављају у систему. Утврђивање узрока који доводе до поремећаја у систему. Ученици проучавају листе поремећаја која се води за свако регулационо коло у погону предузећа. Брзина одзива и тачности система у новом равнотежном стању. Утицај прелазних процеса на жељено стање САУ са акцентом на грејање и производњу топле воде за потребе грађана.</w:t>
            </w:r>
          </w:p>
        </w:tc>
      </w:tr>
      <w:tr w:rsidR="00F61811" w:rsidRPr="00C75725" w14:paraId="5637035A" w14:textId="77777777" w:rsidTr="00F61811">
        <w:trPr>
          <w:trHeight w:val="288"/>
        </w:trPr>
        <w:tc>
          <w:tcPr>
            <w:tcW w:w="328" w:type="dxa"/>
            <w:tcBorders>
              <w:top w:val="nil"/>
              <w:left w:val="single" w:sz="4" w:space="0" w:color="000000"/>
              <w:bottom w:val="single" w:sz="4" w:space="0" w:color="000000"/>
              <w:right w:val="single" w:sz="4" w:space="0" w:color="000000"/>
            </w:tcBorders>
            <w:vAlign w:val="center"/>
            <w:hideMark/>
          </w:tcPr>
          <w:p w14:paraId="05EC732D" w14:textId="77777777" w:rsidR="00F61811" w:rsidRPr="00C75725" w:rsidRDefault="00F61811" w:rsidP="00F61811">
            <w:pPr>
              <w:spacing w:after="0" w:line="240" w:lineRule="auto"/>
              <w:jc w:val="right"/>
              <w:rPr>
                <w:rFonts w:cs="Calibri"/>
                <w:color w:val="000000"/>
              </w:rPr>
            </w:pPr>
            <w:r w:rsidRPr="00C75725">
              <w:rPr>
                <w:rFonts w:cs="Calibri"/>
                <w:color w:val="000000"/>
              </w:rPr>
              <w:t>5</w:t>
            </w:r>
          </w:p>
        </w:tc>
        <w:tc>
          <w:tcPr>
            <w:tcW w:w="9117" w:type="dxa"/>
            <w:tcBorders>
              <w:top w:val="nil"/>
              <w:left w:val="nil"/>
              <w:bottom w:val="single" w:sz="4" w:space="0" w:color="000000"/>
              <w:right w:val="single" w:sz="4" w:space="0" w:color="000000"/>
            </w:tcBorders>
            <w:vAlign w:val="center"/>
          </w:tcPr>
          <w:p w14:paraId="5B0B2929" w14:textId="77777777" w:rsidR="00F61811" w:rsidRPr="00C75725" w:rsidRDefault="00E03914" w:rsidP="00E03914">
            <w:pPr>
              <w:rPr>
                <w:rFonts w:cs="Calibri"/>
                <w:color w:val="000000"/>
              </w:rPr>
            </w:pPr>
            <w:r w:rsidRPr="00C75725">
              <w:rPr>
                <w:rFonts w:cs="Calibri"/>
                <w:color w:val="000000"/>
              </w:rPr>
              <w:t>Подешавање регулатора у погонским условима. Провера карактеристика механичких, електромеханичких и електронских склопова уз коришћење шеме, цртежа и мерења. Ремонт опреме и уређаја и замена делова и склопова. Снимање и побољшање радних карактеристика. Израда одговарајуће техничке документације. Обрада података помоћу информационог система предузећа. Врсте управљања. Полуаутоматско и аутоматско. Централизовано и децентрализовано управљање.</w:t>
            </w:r>
          </w:p>
        </w:tc>
      </w:tr>
    </w:tbl>
    <w:p w14:paraId="17887E65" w14:textId="77777777" w:rsidR="003E1651" w:rsidRDefault="00F61811">
      <w:r>
        <w:t xml:space="preserve">Блок настава </w:t>
      </w:r>
      <w:r w:rsidR="00294B97">
        <w:t xml:space="preserve"> - одељење </w:t>
      </w:r>
      <w:r>
        <w:t xml:space="preserve">4/2 </w:t>
      </w:r>
    </w:p>
    <w:p w14:paraId="6A65B557" w14:textId="77777777" w:rsidR="00F61811" w:rsidRDefault="00F61811">
      <w:r>
        <w:t>Предмет Системи аутоматског управљања</w:t>
      </w:r>
    </w:p>
    <w:p w14:paraId="5AEAC3D7" w14:textId="77777777" w:rsidR="00F61811" w:rsidRPr="00BA7F6D" w:rsidRDefault="00BA7F6D">
      <w:r>
        <w:t xml:space="preserve">Термини на </w:t>
      </w:r>
      <w:r>
        <w:rPr>
          <w:lang w:val="en-US"/>
        </w:rPr>
        <w:t xml:space="preserve">Teams-u </w:t>
      </w:r>
      <w:r>
        <w:t>средом у 13</w:t>
      </w:r>
      <w:r>
        <w:rPr>
          <w:lang w:val="en-US"/>
        </w:rPr>
        <w:t>h (</w:t>
      </w:r>
      <w:r>
        <w:t>3)</w:t>
      </w:r>
      <w:r>
        <w:rPr>
          <w:lang w:val="en-US"/>
        </w:rPr>
        <w:t xml:space="preserve">, </w:t>
      </w:r>
      <w:r>
        <w:t>петак у 13</w:t>
      </w:r>
      <w:r>
        <w:rPr>
          <w:lang w:val="en-US"/>
        </w:rPr>
        <w:t>h</w:t>
      </w:r>
      <w:r>
        <w:t xml:space="preserve"> (2)</w:t>
      </w:r>
    </w:p>
    <w:p w14:paraId="7B67E4E5" w14:textId="77777777" w:rsidR="00F61811" w:rsidRDefault="00F61811">
      <w:pPr>
        <w:rPr>
          <w:lang w:val="en-US"/>
        </w:rPr>
      </w:pPr>
    </w:p>
    <w:p w14:paraId="5BC52491" w14:textId="77777777" w:rsidR="00BA7F6D" w:rsidRDefault="00AF6AA2" w:rsidP="00AF6AA2">
      <w:r w:rsidRPr="00F010E4">
        <w:rPr>
          <w:b/>
          <w:bCs/>
        </w:rPr>
        <w:t>З</w:t>
      </w:r>
      <w:r w:rsidR="00E54A63" w:rsidRPr="00F010E4">
        <w:rPr>
          <w:b/>
          <w:bCs/>
        </w:rPr>
        <w:t>адатак</w:t>
      </w:r>
      <w:r w:rsidRPr="00F010E4">
        <w:rPr>
          <w:b/>
          <w:bCs/>
        </w:rPr>
        <w:t xml:space="preserve"> број 1.</w:t>
      </w:r>
      <w:r w:rsidR="00E54A63" w:rsidRPr="00F010E4">
        <w:rPr>
          <w:b/>
          <w:bCs/>
        </w:rPr>
        <w:t>:</w:t>
      </w:r>
      <w:r w:rsidR="00F010E4">
        <w:rPr>
          <w:b/>
          <w:bCs/>
        </w:rPr>
        <w:t>Н</w:t>
      </w:r>
      <w:r w:rsidR="00E54A63" w:rsidRPr="00F010E4">
        <w:rPr>
          <w:b/>
          <w:bCs/>
        </w:rPr>
        <w:t>аправит</w:t>
      </w:r>
      <w:r w:rsidR="00F010E4">
        <w:rPr>
          <w:b/>
          <w:bCs/>
        </w:rPr>
        <w:t>и</w:t>
      </w:r>
      <w:r w:rsidR="00E54A63" w:rsidRPr="00F010E4">
        <w:rPr>
          <w:b/>
          <w:bCs/>
        </w:rPr>
        <w:t xml:space="preserve"> презентацију система аутоматизације за производни процес по жељи</w:t>
      </w:r>
      <w:r w:rsidR="00E54A63">
        <w:t xml:space="preserve">. </w:t>
      </w:r>
    </w:p>
    <w:p w14:paraId="3518C6C9" w14:textId="77777777" w:rsidR="00E54A63" w:rsidRDefault="00E54A63">
      <w:r>
        <w:t>Можете да користите сву расположиву литерату</w:t>
      </w:r>
      <w:r w:rsidR="00AF6AA2">
        <w:t>ру.</w:t>
      </w:r>
    </w:p>
    <w:p w14:paraId="128EED61" w14:textId="77777777" w:rsidR="00AF6AA2" w:rsidRDefault="00AF6AA2">
      <w:r>
        <w:t xml:space="preserve">Ко има приступ рачунару може да уради у </w:t>
      </w:r>
      <w:r>
        <w:rPr>
          <w:lang w:val="en-US"/>
        </w:rPr>
        <w:t>PowerPointu</w:t>
      </w:r>
      <w:r>
        <w:t>.</w:t>
      </w:r>
    </w:p>
    <w:p w14:paraId="10356C58" w14:textId="77777777" w:rsidR="00AF6AA2" w:rsidRDefault="00AF6AA2">
      <w:pPr>
        <w:rPr>
          <w:b/>
          <w:bCs/>
          <w:lang w:val="en-US"/>
        </w:rPr>
      </w:pPr>
      <w:r>
        <w:t xml:space="preserve">Ко нема приступ рачунару нека уради у свесци за рад на часу, нека упише своје име и презиме и пошаље на маил </w:t>
      </w:r>
      <w:hyperlink r:id="rId5" w:history="1">
        <w:r w:rsidRPr="00017AD8">
          <w:rPr>
            <w:rStyle w:val="Hyperlink"/>
            <w:b/>
            <w:bCs/>
            <w:lang w:val="en-US"/>
          </w:rPr>
          <w:t>ivanradosavljevic.ets@gmail.com</w:t>
        </w:r>
      </w:hyperlink>
    </w:p>
    <w:p w14:paraId="6C8A3818" w14:textId="77777777" w:rsidR="00AF6AA2" w:rsidRDefault="00AF6AA2">
      <w:r>
        <w:t xml:space="preserve">Презентација треба да садржи све елементе, насловна страна, опис процеса, блок дијаграм, математички модел, </w:t>
      </w:r>
      <w:r w:rsidR="006273F9">
        <w:t xml:space="preserve">регулација, стабилност, </w:t>
      </w:r>
      <w:r>
        <w:t>начин</w:t>
      </w:r>
      <w:r w:rsidR="00F010E4">
        <w:t xml:space="preserve"> </w:t>
      </w:r>
      <w:r>
        <w:t>управљања системом , закључак и т.д.</w:t>
      </w:r>
    </w:p>
    <w:p w14:paraId="0D96DF8B" w14:textId="77777777" w:rsidR="00AF6AA2" w:rsidRDefault="00AF6AA2">
      <w:r w:rsidRPr="00AF6AA2">
        <w:rPr>
          <w:b/>
          <w:bCs/>
        </w:rPr>
        <w:t xml:space="preserve">Ово је </w:t>
      </w:r>
      <w:r>
        <w:rPr>
          <w:b/>
          <w:bCs/>
        </w:rPr>
        <w:t xml:space="preserve">један од </w:t>
      </w:r>
      <w:r w:rsidRPr="00AF6AA2">
        <w:rPr>
          <w:b/>
          <w:bCs/>
        </w:rPr>
        <w:t>обавезан</w:t>
      </w:r>
      <w:r>
        <w:rPr>
          <w:b/>
          <w:bCs/>
        </w:rPr>
        <w:t>их</w:t>
      </w:r>
      <w:r w:rsidRPr="00AF6AA2">
        <w:rPr>
          <w:b/>
          <w:bCs/>
        </w:rPr>
        <w:t xml:space="preserve"> рад</w:t>
      </w:r>
      <w:r>
        <w:rPr>
          <w:b/>
          <w:bCs/>
        </w:rPr>
        <w:t>ова</w:t>
      </w:r>
      <w:r>
        <w:t xml:space="preserve"> па се потрудите да га урадите.</w:t>
      </w:r>
    </w:p>
    <w:p w14:paraId="700A7D7B" w14:textId="77777777" w:rsidR="0082198E" w:rsidRPr="0082198E" w:rsidRDefault="0082198E">
      <w:r>
        <w:t>Рок за предају 15. мај.</w:t>
      </w:r>
    </w:p>
    <w:p w14:paraId="5D7CDB68" w14:textId="77777777" w:rsidR="00F61811" w:rsidRDefault="00AF6AA2">
      <w:r>
        <w:t>Блок настава се оцењује, оцењиваћу ангажман – присуство, презентацију и целокупну активност.</w:t>
      </w:r>
    </w:p>
    <w:p w14:paraId="19FA0B36" w14:textId="77777777" w:rsidR="006273F9" w:rsidRDefault="006273F9"/>
    <w:p w14:paraId="288CD5B5" w14:textId="77777777" w:rsidR="00F010E4" w:rsidRDefault="00F010E4">
      <w:r>
        <w:lastRenderedPageBreak/>
        <w:t>Проф. Иван Радосављевић</w:t>
      </w:r>
    </w:p>
    <w:sectPr w:rsidR="00F010E4" w:rsidSect="006273F9">
      <w:pgSz w:w="11909" w:h="16834"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370C5"/>
    <w:multiLevelType w:val="hybridMultilevel"/>
    <w:tmpl w:val="847C3368"/>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811"/>
    <w:rsid w:val="00017AD8"/>
    <w:rsid w:val="00294B97"/>
    <w:rsid w:val="003E1651"/>
    <w:rsid w:val="005177EC"/>
    <w:rsid w:val="006273F9"/>
    <w:rsid w:val="0082198E"/>
    <w:rsid w:val="00AF6AA2"/>
    <w:rsid w:val="00BA7F6D"/>
    <w:rsid w:val="00C75725"/>
    <w:rsid w:val="00E03914"/>
    <w:rsid w:val="00E54A63"/>
    <w:rsid w:val="00F010E4"/>
    <w:rsid w:val="00F6181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D0EC6"/>
  <w14:defaultImageDpi w14:val="0"/>
  <w15:docId w15:val="{8A3FE2EA-F597-42F5-9E52-8611639B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sr-Cyrl-RS" w:eastAsia="sr-Cyrl-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6AA2"/>
    <w:rPr>
      <w:rFonts w:cs="Times New Roman"/>
      <w:color w:val="0563C1"/>
      <w:u w:val="single"/>
    </w:rPr>
  </w:style>
  <w:style w:type="character" w:styleId="UnresolvedMention">
    <w:name w:val="Unresolved Mention"/>
    <w:uiPriority w:val="99"/>
    <w:semiHidden/>
    <w:unhideWhenUsed/>
    <w:rsid w:val="00AF6AA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955372">
      <w:marLeft w:val="0"/>
      <w:marRight w:val="0"/>
      <w:marTop w:val="0"/>
      <w:marBottom w:val="0"/>
      <w:divBdr>
        <w:top w:val="none" w:sz="0" w:space="0" w:color="auto"/>
        <w:left w:val="none" w:sz="0" w:space="0" w:color="auto"/>
        <w:bottom w:val="none" w:sz="0" w:space="0" w:color="auto"/>
        <w:right w:val="none" w:sz="0" w:space="0" w:color="auto"/>
      </w:divBdr>
    </w:div>
    <w:div w:id="2015955373">
      <w:marLeft w:val="0"/>
      <w:marRight w:val="0"/>
      <w:marTop w:val="0"/>
      <w:marBottom w:val="0"/>
      <w:divBdr>
        <w:top w:val="none" w:sz="0" w:space="0" w:color="auto"/>
        <w:left w:val="none" w:sz="0" w:space="0" w:color="auto"/>
        <w:bottom w:val="none" w:sz="0" w:space="0" w:color="auto"/>
        <w:right w:val="none" w:sz="0" w:space="0" w:color="auto"/>
      </w:divBdr>
    </w:div>
    <w:div w:id="2015955374">
      <w:marLeft w:val="0"/>
      <w:marRight w:val="0"/>
      <w:marTop w:val="0"/>
      <w:marBottom w:val="0"/>
      <w:divBdr>
        <w:top w:val="none" w:sz="0" w:space="0" w:color="auto"/>
        <w:left w:val="none" w:sz="0" w:space="0" w:color="auto"/>
        <w:bottom w:val="none" w:sz="0" w:space="0" w:color="auto"/>
        <w:right w:val="none" w:sz="0" w:space="0" w:color="auto"/>
      </w:divBdr>
    </w:div>
    <w:div w:id="2015955375">
      <w:marLeft w:val="0"/>
      <w:marRight w:val="0"/>
      <w:marTop w:val="0"/>
      <w:marBottom w:val="0"/>
      <w:divBdr>
        <w:top w:val="none" w:sz="0" w:space="0" w:color="auto"/>
        <w:left w:val="none" w:sz="0" w:space="0" w:color="auto"/>
        <w:bottom w:val="none" w:sz="0" w:space="0" w:color="auto"/>
        <w:right w:val="none" w:sz="0" w:space="0" w:color="auto"/>
      </w:divBdr>
    </w:div>
    <w:div w:id="2015955376">
      <w:marLeft w:val="0"/>
      <w:marRight w:val="0"/>
      <w:marTop w:val="0"/>
      <w:marBottom w:val="0"/>
      <w:divBdr>
        <w:top w:val="none" w:sz="0" w:space="0" w:color="auto"/>
        <w:left w:val="none" w:sz="0" w:space="0" w:color="auto"/>
        <w:bottom w:val="none" w:sz="0" w:space="0" w:color="auto"/>
        <w:right w:val="none" w:sz="0" w:space="0" w:color="auto"/>
      </w:divBdr>
    </w:div>
    <w:div w:id="2015955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anradosavljevic.e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Radosavljevic</dc:creator>
  <cp:keywords/>
  <dc:description/>
  <cp:lastModifiedBy>Ivan Radosavljevic</cp:lastModifiedBy>
  <cp:revision>2</cp:revision>
  <dcterms:created xsi:type="dcterms:W3CDTF">2020-05-07T20:07:00Z</dcterms:created>
  <dcterms:modified xsi:type="dcterms:W3CDTF">2020-05-07T20:07:00Z</dcterms:modified>
</cp:coreProperties>
</file>